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8696" w14:textId="77777777" w:rsidR="00442166" w:rsidRDefault="00442166" w:rsidP="00442166">
      <w:pPr>
        <w:spacing w:after="160" w:line="259" w:lineRule="auto"/>
        <w:rPr>
          <w:rFonts w:ascii="Calibri" w:eastAsia="Calibri" w:hAnsi="Calibri"/>
          <w:sz w:val="2"/>
          <w:szCs w:val="2"/>
          <w:lang w:val="en-US"/>
        </w:rPr>
      </w:pPr>
    </w:p>
    <w:p w14:paraId="211111EB" w14:textId="77777777" w:rsidR="00442166" w:rsidRPr="00442166" w:rsidRDefault="00442166" w:rsidP="00442166">
      <w:pPr>
        <w:spacing w:after="160" w:line="259" w:lineRule="auto"/>
        <w:rPr>
          <w:rFonts w:ascii="Calibri" w:eastAsia="Calibri" w:hAnsi="Calibri"/>
          <w:sz w:val="2"/>
          <w:szCs w:val="2"/>
          <w:lang w:val="en-US"/>
        </w:rPr>
      </w:pPr>
    </w:p>
    <w:p w14:paraId="26E92DA7" w14:textId="77777777" w:rsidR="00503084" w:rsidRPr="00C83A54" w:rsidRDefault="00503084" w:rsidP="00802A15">
      <w:pPr>
        <w:rPr>
          <w:rFonts w:eastAsia="Calibri" w:cs="Arial"/>
          <w:b/>
          <w:bCs/>
          <w:sz w:val="22"/>
          <w:szCs w:val="22"/>
          <w:lang w:val="en-US"/>
        </w:rPr>
      </w:pPr>
      <w:r w:rsidRPr="00C83A54">
        <w:rPr>
          <w:rFonts w:eastAsia="Calibri" w:cs="Arial"/>
          <w:b/>
          <w:bCs/>
          <w:sz w:val="22"/>
          <w:szCs w:val="22"/>
          <w:lang w:val="en-US"/>
        </w:rPr>
        <w:t>Job Description</w:t>
      </w:r>
    </w:p>
    <w:p w14:paraId="5A892BDE" w14:textId="77777777" w:rsidR="00802A15" w:rsidRPr="00C83A54" w:rsidRDefault="00802A15" w:rsidP="00802A15">
      <w:pPr>
        <w:rPr>
          <w:rFonts w:eastAsia="Calibri"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707"/>
      </w:tblGrid>
      <w:tr w:rsidR="004F7C57" w:rsidRPr="00C83A54" w14:paraId="75ADE63C" w14:textId="77777777" w:rsidTr="00083AC1">
        <w:trPr>
          <w:trHeight w:val="624"/>
        </w:trPr>
        <w:tc>
          <w:tcPr>
            <w:tcW w:w="3085" w:type="dxa"/>
            <w:shd w:val="clear" w:color="auto" w:fill="auto"/>
          </w:tcPr>
          <w:p w14:paraId="5B64D96F" w14:textId="77777777" w:rsidR="004F7C57" w:rsidRPr="00C83A54" w:rsidRDefault="004F7C57" w:rsidP="00CC124B">
            <w:pPr>
              <w:rPr>
                <w:rFonts w:cs="Arial"/>
                <w:b/>
                <w:sz w:val="22"/>
                <w:szCs w:val="22"/>
              </w:rPr>
            </w:pPr>
            <w:r w:rsidRPr="00C83A54">
              <w:rPr>
                <w:rFonts w:cs="Arial"/>
                <w:b/>
                <w:sz w:val="22"/>
                <w:szCs w:val="22"/>
              </w:rPr>
              <w:t xml:space="preserve">Job </w:t>
            </w:r>
            <w:r w:rsidR="00503084" w:rsidRPr="00C83A54">
              <w:rPr>
                <w:rFonts w:cs="Arial"/>
                <w:b/>
                <w:sz w:val="22"/>
                <w:szCs w:val="22"/>
              </w:rPr>
              <w:t>Role</w:t>
            </w:r>
            <w:r w:rsidRPr="00C83A54">
              <w:rPr>
                <w:rFonts w:cs="Arial"/>
                <w:b/>
                <w:sz w:val="22"/>
                <w:szCs w:val="22"/>
              </w:rPr>
              <w:t>:</w:t>
            </w:r>
          </w:p>
        </w:tc>
        <w:tc>
          <w:tcPr>
            <w:tcW w:w="6877" w:type="dxa"/>
            <w:shd w:val="clear" w:color="auto" w:fill="auto"/>
          </w:tcPr>
          <w:p w14:paraId="46F665D8" w14:textId="1608B6AB" w:rsidR="004F7C57" w:rsidRPr="00C83A54" w:rsidRDefault="00923B21" w:rsidP="00CC124B">
            <w:pPr>
              <w:rPr>
                <w:rFonts w:cs="Arial"/>
                <w:b/>
                <w:bCs/>
                <w:sz w:val="22"/>
                <w:szCs w:val="22"/>
              </w:rPr>
            </w:pPr>
            <w:r>
              <w:rPr>
                <w:rFonts w:cs="Arial"/>
                <w:b/>
                <w:bCs/>
                <w:sz w:val="22"/>
                <w:szCs w:val="22"/>
              </w:rPr>
              <w:t>Deputy Head of Education</w:t>
            </w:r>
            <w:r w:rsidR="009D7696">
              <w:rPr>
                <w:rFonts w:cs="Arial"/>
                <w:b/>
                <w:bCs/>
                <w:sz w:val="22"/>
                <w:szCs w:val="22"/>
              </w:rPr>
              <w:t xml:space="preserve"> (Moreton)</w:t>
            </w:r>
            <w:r w:rsidR="00C83A54" w:rsidRPr="00C83A54">
              <w:rPr>
                <w:rFonts w:cs="Arial"/>
                <w:b/>
                <w:bCs/>
                <w:sz w:val="22"/>
                <w:szCs w:val="22"/>
              </w:rPr>
              <w:t xml:space="preserve"> </w:t>
            </w:r>
          </w:p>
        </w:tc>
      </w:tr>
      <w:tr w:rsidR="004F7C57" w:rsidRPr="00C83A54" w14:paraId="79BF89B2" w14:textId="77777777" w:rsidTr="00083AC1">
        <w:trPr>
          <w:trHeight w:val="624"/>
        </w:trPr>
        <w:tc>
          <w:tcPr>
            <w:tcW w:w="3085" w:type="dxa"/>
            <w:shd w:val="clear" w:color="auto" w:fill="auto"/>
          </w:tcPr>
          <w:p w14:paraId="2B6672AD" w14:textId="77777777" w:rsidR="004F7C57" w:rsidRPr="00C83A54" w:rsidRDefault="004F7C57" w:rsidP="00CC124B">
            <w:pPr>
              <w:rPr>
                <w:rFonts w:cs="Arial"/>
                <w:b/>
                <w:sz w:val="22"/>
                <w:szCs w:val="22"/>
              </w:rPr>
            </w:pPr>
            <w:r w:rsidRPr="00C83A54">
              <w:rPr>
                <w:rFonts w:cs="Arial"/>
                <w:b/>
                <w:sz w:val="22"/>
                <w:szCs w:val="22"/>
              </w:rPr>
              <w:t>Department:</w:t>
            </w:r>
          </w:p>
        </w:tc>
        <w:tc>
          <w:tcPr>
            <w:tcW w:w="6877" w:type="dxa"/>
            <w:shd w:val="clear" w:color="auto" w:fill="auto"/>
          </w:tcPr>
          <w:p w14:paraId="144A1976" w14:textId="77777777" w:rsidR="004F7C57" w:rsidRPr="00C83A54" w:rsidRDefault="00C83A54" w:rsidP="00CC124B">
            <w:pPr>
              <w:rPr>
                <w:rFonts w:cs="Arial"/>
                <w:b/>
                <w:sz w:val="22"/>
                <w:szCs w:val="22"/>
              </w:rPr>
            </w:pPr>
            <w:r w:rsidRPr="00C83A54">
              <w:rPr>
                <w:rFonts w:cs="Arial"/>
                <w:b/>
                <w:sz w:val="22"/>
                <w:szCs w:val="22"/>
              </w:rPr>
              <w:t xml:space="preserve">Education </w:t>
            </w:r>
          </w:p>
        </w:tc>
      </w:tr>
      <w:tr w:rsidR="004F7C57" w:rsidRPr="00C83A54" w14:paraId="71BAF1DD" w14:textId="77777777" w:rsidTr="00083AC1">
        <w:trPr>
          <w:trHeight w:val="624"/>
        </w:trPr>
        <w:tc>
          <w:tcPr>
            <w:tcW w:w="3085" w:type="dxa"/>
            <w:shd w:val="clear" w:color="auto" w:fill="auto"/>
          </w:tcPr>
          <w:p w14:paraId="44127CF5" w14:textId="77777777" w:rsidR="004F7C57" w:rsidRPr="00C83A54" w:rsidRDefault="004F7C57" w:rsidP="00CC124B">
            <w:pPr>
              <w:rPr>
                <w:rFonts w:cs="Arial"/>
                <w:b/>
                <w:sz w:val="22"/>
                <w:szCs w:val="22"/>
              </w:rPr>
            </w:pPr>
            <w:r w:rsidRPr="00C83A54">
              <w:rPr>
                <w:rFonts w:cs="Arial"/>
                <w:b/>
                <w:sz w:val="22"/>
                <w:szCs w:val="22"/>
              </w:rPr>
              <w:t>Location:</w:t>
            </w:r>
          </w:p>
        </w:tc>
        <w:tc>
          <w:tcPr>
            <w:tcW w:w="6877" w:type="dxa"/>
            <w:shd w:val="clear" w:color="auto" w:fill="auto"/>
          </w:tcPr>
          <w:p w14:paraId="14509042" w14:textId="546A07B5" w:rsidR="004F7C57" w:rsidRPr="00C83A54" w:rsidRDefault="00923B21" w:rsidP="00CC124B">
            <w:pPr>
              <w:rPr>
                <w:rFonts w:cs="Arial"/>
                <w:b/>
                <w:sz w:val="22"/>
                <w:szCs w:val="22"/>
              </w:rPr>
            </w:pPr>
            <w:r>
              <w:rPr>
                <w:rFonts w:cs="Arial"/>
                <w:b/>
                <w:sz w:val="22"/>
                <w:szCs w:val="22"/>
              </w:rPr>
              <w:t>Moreton</w:t>
            </w:r>
          </w:p>
        </w:tc>
      </w:tr>
      <w:tr w:rsidR="004F7C57" w:rsidRPr="00C83A54" w14:paraId="12B4CCED" w14:textId="77777777" w:rsidTr="00083AC1">
        <w:trPr>
          <w:trHeight w:val="572"/>
        </w:trPr>
        <w:tc>
          <w:tcPr>
            <w:tcW w:w="3085" w:type="dxa"/>
            <w:shd w:val="clear" w:color="auto" w:fill="auto"/>
          </w:tcPr>
          <w:p w14:paraId="2BDDACD6" w14:textId="77777777" w:rsidR="004F7C57" w:rsidRPr="00C83A54" w:rsidRDefault="004F7C57" w:rsidP="00CC124B">
            <w:pPr>
              <w:rPr>
                <w:rFonts w:cs="Arial"/>
                <w:b/>
                <w:sz w:val="22"/>
                <w:szCs w:val="22"/>
              </w:rPr>
            </w:pPr>
            <w:r w:rsidRPr="00C83A54">
              <w:rPr>
                <w:rFonts w:cs="Arial"/>
                <w:b/>
                <w:sz w:val="22"/>
                <w:szCs w:val="22"/>
              </w:rPr>
              <w:t>Reports to:</w:t>
            </w:r>
          </w:p>
        </w:tc>
        <w:tc>
          <w:tcPr>
            <w:tcW w:w="6877" w:type="dxa"/>
            <w:shd w:val="clear" w:color="auto" w:fill="auto"/>
          </w:tcPr>
          <w:p w14:paraId="723C69D4" w14:textId="08A72B6D" w:rsidR="004F7C57" w:rsidRPr="00C83A54" w:rsidRDefault="00923B21" w:rsidP="00CC124B">
            <w:pPr>
              <w:rPr>
                <w:rFonts w:cs="Arial"/>
                <w:b/>
                <w:sz w:val="22"/>
                <w:szCs w:val="22"/>
              </w:rPr>
            </w:pPr>
            <w:r>
              <w:rPr>
                <w:rFonts w:cs="Arial"/>
                <w:b/>
                <w:bCs/>
                <w:sz w:val="22"/>
                <w:szCs w:val="22"/>
              </w:rPr>
              <w:t>Head of Education</w:t>
            </w:r>
          </w:p>
        </w:tc>
      </w:tr>
      <w:tr w:rsidR="004F7C57" w:rsidRPr="00C83A54" w14:paraId="60B9C5EE" w14:textId="77777777" w:rsidTr="00083AC1">
        <w:tc>
          <w:tcPr>
            <w:tcW w:w="3085" w:type="dxa"/>
            <w:shd w:val="clear" w:color="auto" w:fill="auto"/>
          </w:tcPr>
          <w:p w14:paraId="3D264A95" w14:textId="77777777" w:rsidR="004F7C57" w:rsidRPr="00C83A54" w:rsidRDefault="004F7C57" w:rsidP="00CC124B">
            <w:pPr>
              <w:rPr>
                <w:rFonts w:cs="Arial"/>
                <w:b/>
                <w:sz w:val="22"/>
                <w:szCs w:val="22"/>
              </w:rPr>
            </w:pPr>
            <w:r w:rsidRPr="00C83A54">
              <w:rPr>
                <w:rFonts w:cs="Arial"/>
                <w:b/>
                <w:sz w:val="22"/>
                <w:szCs w:val="22"/>
              </w:rPr>
              <w:t>Main purpose of job role:</w:t>
            </w:r>
          </w:p>
        </w:tc>
        <w:tc>
          <w:tcPr>
            <w:tcW w:w="6877" w:type="dxa"/>
            <w:shd w:val="clear" w:color="auto" w:fill="auto"/>
          </w:tcPr>
          <w:p w14:paraId="794E59F1" w14:textId="77777777" w:rsidR="00923B21" w:rsidRDefault="00923B21" w:rsidP="00923B21">
            <w:r>
              <w:t>To support the Head of Education in the leadership and management of the education provision at Employ My Ability (EMA). The Deputy Head of Education will work closely with the Head of Education to ensure compliance with regulatory bodies, maintain high standards of teaching and learning, and contribute to the strategic development of the provision. The role will focus on curriculum development, staff management, and safeguarding, ensuring an inclusive and high-quality education experience for all learners.</w:t>
            </w:r>
          </w:p>
          <w:p w14:paraId="339B1D24" w14:textId="77777777" w:rsidR="00C83A54" w:rsidRPr="0091740E" w:rsidRDefault="00C83A54" w:rsidP="007B6F21">
            <w:pPr>
              <w:spacing w:before="100" w:beforeAutospacing="1" w:after="100" w:afterAutospacing="1"/>
              <w:rPr>
                <w:rFonts w:cs="Arial"/>
                <w:b/>
                <w:sz w:val="22"/>
                <w:szCs w:val="22"/>
              </w:rPr>
            </w:pPr>
          </w:p>
        </w:tc>
      </w:tr>
      <w:tr w:rsidR="004F7C57" w:rsidRPr="00C83A54" w14:paraId="0DE75008" w14:textId="77777777" w:rsidTr="00083AC1">
        <w:tc>
          <w:tcPr>
            <w:tcW w:w="3085" w:type="dxa"/>
            <w:shd w:val="clear" w:color="auto" w:fill="auto"/>
          </w:tcPr>
          <w:p w14:paraId="51EB2778" w14:textId="77777777" w:rsidR="004F7C57" w:rsidRPr="00C83A54" w:rsidRDefault="004F7C57" w:rsidP="00CC124B">
            <w:pPr>
              <w:rPr>
                <w:rFonts w:cs="Arial"/>
                <w:b/>
                <w:sz w:val="22"/>
                <w:szCs w:val="22"/>
              </w:rPr>
            </w:pPr>
            <w:r w:rsidRPr="00C83A54">
              <w:rPr>
                <w:rFonts w:cs="Arial"/>
                <w:b/>
                <w:sz w:val="22"/>
                <w:szCs w:val="22"/>
              </w:rPr>
              <w:t>Key tasks:</w:t>
            </w:r>
          </w:p>
        </w:tc>
        <w:tc>
          <w:tcPr>
            <w:tcW w:w="6877" w:type="dxa"/>
            <w:shd w:val="clear" w:color="auto" w:fill="auto"/>
          </w:tcPr>
          <w:p w14:paraId="45560D3F" w14:textId="77777777" w:rsidR="00C80A7D" w:rsidRDefault="00C83A54" w:rsidP="00C83A54">
            <w:pPr>
              <w:spacing w:before="100" w:beforeAutospacing="1" w:after="100" w:afterAutospacing="1"/>
              <w:rPr>
                <w:rFonts w:cs="Arial"/>
                <w:b/>
                <w:bCs/>
                <w:sz w:val="22"/>
                <w:szCs w:val="22"/>
                <w:lang w:eastAsia="en-GB"/>
              </w:rPr>
            </w:pPr>
            <w:r w:rsidRPr="00C83A54">
              <w:rPr>
                <w:rFonts w:cs="Arial"/>
                <w:b/>
                <w:bCs/>
                <w:sz w:val="22"/>
                <w:szCs w:val="22"/>
                <w:lang w:eastAsia="en-GB"/>
              </w:rPr>
              <w:t>Leadership and Management</w:t>
            </w:r>
          </w:p>
          <w:p w14:paraId="12338AFF" w14:textId="77777777" w:rsidR="00923B21" w:rsidRDefault="00923B21" w:rsidP="00923B21">
            <w:r>
              <w:t>- Assist in the leadership and strategic development of the education provision, ensuring that high standards are maintained.</w:t>
            </w:r>
          </w:p>
          <w:p w14:paraId="2F779385" w14:textId="77777777" w:rsidR="00923B21" w:rsidRDefault="00923B21" w:rsidP="00923B21"/>
          <w:p w14:paraId="5E6817BA" w14:textId="77777777" w:rsidR="00923B21" w:rsidRDefault="00923B21" w:rsidP="00923B21">
            <w:r>
              <w:t>- Line manage and support teaching staff, ensuring they have the resources, training, and guidance necessary to deliver outstanding education.</w:t>
            </w:r>
          </w:p>
          <w:p w14:paraId="0C938907" w14:textId="77777777" w:rsidR="00923B21" w:rsidRDefault="00923B21" w:rsidP="00923B21"/>
          <w:p w14:paraId="5A631229" w14:textId="77777777" w:rsidR="00923B21" w:rsidRDefault="00923B21" w:rsidP="00923B21">
            <w:r>
              <w:t>- Support the Head of Education in developing and implementing strategies to improve student outcomes, engagement, and overall learning experience.</w:t>
            </w:r>
          </w:p>
          <w:p w14:paraId="7B824E41" w14:textId="77777777" w:rsidR="00923B21" w:rsidRDefault="00923B21" w:rsidP="00923B21"/>
          <w:p w14:paraId="30063A66" w14:textId="40DE078B" w:rsidR="00923B21" w:rsidRDefault="00923B21" w:rsidP="00923B21">
            <w:r>
              <w:t>- Act as a de</w:t>
            </w:r>
            <w:r w:rsidR="004F2257">
              <w:t>signated</w:t>
            </w:r>
            <w:r>
              <w:t xml:space="preserve"> safeguarding lead, ensuring robust safeguarding procedures are in place and adhered to at all times</w:t>
            </w:r>
          </w:p>
          <w:p w14:paraId="25BC95B3" w14:textId="51010AC0" w:rsidR="00923B21" w:rsidRDefault="00923B21" w:rsidP="00923B21">
            <w:r>
              <w:t>.</w:t>
            </w:r>
          </w:p>
          <w:p w14:paraId="4EC7AF98" w14:textId="77777777" w:rsidR="00923B21" w:rsidRDefault="00923B21" w:rsidP="00923B21">
            <w:r>
              <w:t>- Oversee staff induction, training, and ongoing professional development, ensuring all team members are well-equipped to support SEND learners.</w:t>
            </w:r>
          </w:p>
          <w:p w14:paraId="316BD1EE" w14:textId="77777777" w:rsidR="00923B21" w:rsidRDefault="00923B21" w:rsidP="00923B21"/>
          <w:p w14:paraId="5DA84391" w14:textId="77777777" w:rsidR="00923B21" w:rsidRDefault="00923B21" w:rsidP="00923B21">
            <w:r>
              <w:t>- Deputise for the Head of Education in their absence, ensuring continuity of leadership and decision-making.</w:t>
            </w:r>
          </w:p>
          <w:p w14:paraId="03E5B86D" w14:textId="77777777" w:rsidR="00923B21" w:rsidRDefault="00923B21" w:rsidP="00923B21"/>
          <w:p w14:paraId="6B33EB7B" w14:textId="77777777" w:rsidR="00C83A54" w:rsidRPr="00C83A54" w:rsidRDefault="00C83A54" w:rsidP="00C83A54">
            <w:pPr>
              <w:spacing w:before="100" w:beforeAutospacing="1" w:after="100" w:afterAutospacing="1"/>
              <w:rPr>
                <w:rFonts w:cs="Arial"/>
                <w:sz w:val="22"/>
                <w:szCs w:val="22"/>
                <w:lang w:eastAsia="en-GB"/>
              </w:rPr>
            </w:pPr>
            <w:r w:rsidRPr="00C83A54">
              <w:rPr>
                <w:rFonts w:cs="Arial"/>
                <w:b/>
                <w:bCs/>
                <w:sz w:val="22"/>
                <w:szCs w:val="22"/>
                <w:lang w:eastAsia="en-GB"/>
              </w:rPr>
              <w:lastRenderedPageBreak/>
              <w:t xml:space="preserve">Curriculum </w:t>
            </w:r>
            <w:r w:rsidR="008962EF">
              <w:rPr>
                <w:rFonts w:cs="Arial"/>
                <w:b/>
                <w:bCs/>
                <w:sz w:val="22"/>
                <w:szCs w:val="22"/>
                <w:lang w:eastAsia="en-GB"/>
              </w:rPr>
              <w:t xml:space="preserve">and Education Strategy, </w:t>
            </w:r>
            <w:r w:rsidRPr="00C83A54">
              <w:rPr>
                <w:rFonts w:cs="Arial"/>
                <w:b/>
                <w:bCs/>
                <w:sz w:val="22"/>
                <w:szCs w:val="22"/>
                <w:lang w:eastAsia="en-GB"/>
              </w:rPr>
              <w:t>Development and Delivery</w:t>
            </w:r>
          </w:p>
          <w:p w14:paraId="79ECD31A" w14:textId="77777777" w:rsidR="00923B21" w:rsidRDefault="00923B21" w:rsidP="00923B21">
            <w:r>
              <w:t>- Work closely with the Curriculum Manager to ensure high quality teaching &amp; learning and that the curriculum is inclusive, flexible, and meets the diverse needs of students.</w:t>
            </w:r>
          </w:p>
          <w:p w14:paraId="665940AB" w14:textId="77777777" w:rsidR="00923B21" w:rsidRDefault="00923B21" w:rsidP="00923B21"/>
          <w:p w14:paraId="0D6B7A85" w14:textId="77777777" w:rsidR="00923B21" w:rsidRDefault="00923B21" w:rsidP="00923B21">
            <w:r>
              <w:t>- Support the design, implementation, and review of an engaging and aspirational curriculum that aligns with students' EHCPs.</w:t>
            </w:r>
          </w:p>
          <w:p w14:paraId="32EFD070" w14:textId="77777777" w:rsidR="00923B21" w:rsidRDefault="00923B21" w:rsidP="00923B21"/>
          <w:p w14:paraId="6F480446" w14:textId="77777777" w:rsidR="00923B21" w:rsidRDefault="00923B21" w:rsidP="00923B21">
            <w:r>
              <w:t>- Ensure teaching and learning strategies are innovative, evidence-based, and adapted to suit students with SEND.</w:t>
            </w:r>
          </w:p>
          <w:p w14:paraId="16860E50" w14:textId="77777777" w:rsidR="00923B21" w:rsidRDefault="00923B21" w:rsidP="00923B21"/>
          <w:p w14:paraId="38D8E7F8" w14:textId="77777777" w:rsidR="00923B21" w:rsidRDefault="00923B21" w:rsidP="00923B21">
            <w:r>
              <w:t>- Monitor the effectiveness of assessment processes and ensure student progress is tracked effectively.</w:t>
            </w:r>
          </w:p>
          <w:p w14:paraId="36D90D6B" w14:textId="77777777" w:rsidR="00923B21" w:rsidRDefault="00923B21" w:rsidP="00923B21"/>
          <w:p w14:paraId="7447D65A" w14:textId="77777777" w:rsidR="00923B21" w:rsidRDefault="00923B21" w:rsidP="00923B21">
            <w:r>
              <w:t>- Support the development of functional skills, life skills, and vocational learning opportunities to prepare students for their next steps.</w:t>
            </w:r>
          </w:p>
          <w:p w14:paraId="642D80AC" w14:textId="77777777" w:rsidR="0047496D" w:rsidRDefault="0047496D" w:rsidP="00923B21"/>
          <w:p w14:paraId="76315E42" w14:textId="5A2FF646" w:rsidR="0047496D" w:rsidRDefault="0047496D" w:rsidP="00923B21">
            <w:r>
              <w:t>-Oversee internal quality assurance</w:t>
            </w:r>
          </w:p>
          <w:p w14:paraId="3E52AA67" w14:textId="77777777" w:rsidR="00C83A54" w:rsidRPr="00C83A54" w:rsidRDefault="00C83A54" w:rsidP="00C83A54">
            <w:pPr>
              <w:spacing w:before="100" w:beforeAutospacing="1" w:after="100" w:afterAutospacing="1"/>
              <w:rPr>
                <w:rFonts w:cs="Arial"/>
                <w:sz w:val="22"/>
                <w:szCs w:val="22"/>
                <w:lang w:eastAsia="en-GB"/>
              </w:rPr>
            </w:pPr>
            <w:r w:rsidRPr="00C83A54">
              <w:rPr>
                <w:rFonts w:cs="Arial"/>
                <w:b/>
                <w:bCs/>
                <w:sz w:val="22"/>
                <w:szCs w:val="22"/>
                <w:lang w:eastAsia="en-GB"/>
              </w:rPr>
              <w:t>Teaching and Learning</w:t>
            </w:r>
          </w:p>
          <w:p w14:paraId="38EDCC30" w14:textId="77777777" w:rsidR="00923B21" w:rsidRDefault="00923B21" w:rsidP="00923B21">
            <w:r>
              <w:t>- Provide leadership in maintaining high-quality teaching and learning across the provision.</w:t>
            </w:r>
          </w:p>
          <w:p w14:paraId="56247502" w14:textId="77777777" w:rsidR="00923B21" w:rsidRDefault="00923B21" w:rsidP="00923B21"/>
          <w:p w14:paraId="15BF1380" w14:textId="77777777" w:rsidR="00923B21" w:rsidRDefault="00923B21" w:rsidP="00923B21">
            <w:r>
              <w:t>- Conduct lesson observations, provide constructive feedback, and implement strategies to enhance teaching quality.</w:t>
            </w:r>
          </w:p>
          <w:p w14:paraId="3A51DA10" w14:textId="77777777" w:rsidR="00923B21" w:rsidRDefault="00923B21" w:rsidP="00923B21"/>
          <w:p w14:paraId="5E5BC29B" w14:textId="77777777" w:rsidR="00923B21" w:rsidRDefault="00923B21" w:rsidP="00923B21">
            <w:r>
              <w:t>- Encourage continuous professional development among staff and facilitate training opportunities.</w:t>
            </w:r>
          </w:p>
          <w:p w14:paraId="12A7352D" w14:textId="77777777" w:rsidR="00923B21" w:rsidRDefault="00923B21" w:rsidP="00923B21"/>
          <w:p w14:paraId="01459B7D" w14:textId="77777777" w:rsidR="00923B21" w:rsidRDefault="00923B21" w:rsidP="00923B21">
            <w:r>
              <w:t>- Promote a culture of high expectations and inclusivity, ensuring all students receive the support they need to succeed.</w:t>
            </w:r>
          </w:p>
          <w:p w14:paraId="1C2DB072" w14:textId="77777777" w:rsidR="00C83A54" w:rsidRPr="00C83A54" w:rsidRDefault="0045006A" w:rsidP="00C83A54">
            <w:pPr>
              <w:spacing w:before="100" w:beforeAutospacing="1" w:after="100" w:afterAutospacing="1"/>
              <w:rPr>
                <w:rFonts w:cs="Arial"/>
                <w:sz w:val="22"/>
                <w:szCs w:val="22"/>
                <w:lang w:eastAsia="en-GB"/>
              </w:rPr>
            </w:pPr>
            <w:r>
              <w:rPr>
                <w:rFonts w:cs="Arial"/>
                <w:b/>
                <w:bCs/>
                <w:sz w:val="22"/>
                <w:szCs w:val="22"/>
                <w:lang w:eastAsia="en-GB"/>
              </w:rPr>
              <w:t>S</w:t>
            </w:r>
            <w:r w:rsidR="00C83A54" w:rsidRPr="00C83A54">
              <w:rPr>
                <w:rFonts w:cs="Arial"/>
                <w:b/>
                <w:bCs/>
                <w:sz w:val="22"/>
                <w:szCs w:val="22"/>
                <w:lang w:eastAsia="en-GB"/>
              </w:rPr>
              <w:t>afeguarding and Wellbeing</w:t>
            </w:r>
          </w:p>
          <w:p w14:paraId="048D5C1B" w14:textId="56F8A3E1" w:rsidR="00923B21" w:rsidRDefault="00923B21" w:rsidP="00923B21">
            <w:r>
              <w:t>- Act as a the designated safeguarding lead ensuring all safeguarding policies and procedures are adhered to in align with the most up to date KCSIE.</w:t>
            </w:r>
          </w:p>
          <w:p w14:paraId="5A0EB3DA" w14:textId="77777777" w:rsidR="00923B21" w:rsidRDefault="00923B21" w:rsidP="00923B21"/>
          <w:p w14:paraId="3E13254A" w14:textId="77777777" w:rsidR="00923B21" w:rsidRDefault="00923B21" w:rsidP="00923B21">
            <w:r>
              <w:t>- Work with staff, students, and external agencies to ensure the emotional, mental, and social wellbeing of all students is prioritised.</w:t>
            </w:r>
          </w:p>
          <w:p w14:paraId="5AC1B306" w14:textId="77777777" w:rsidR="00923B21" w:rsidRDefault="00923B21" w:rsidP="00923B21"/>
          <w:p w14:paraId="7F8A6B89" w14:textId="77777777" w:rsidR="00923B21" w:rsidRDefault="00923B21" w:rsidP="00923B21">
            <w:r>
              <w:lastRenderedPageBreak/>
              <w:t>- Provide guidance and support to staff in managing challenging behaviours and implementing effective support strategies.</w:t>
            </w:r>
          </w:p>
          <w:p w14:paraId="4C584A77" w14:textId="77777777" w:rsidR="00923B21" w:rsidRDefault="00923B21" w:rsidP="00923B21"/>
          <w:p w14:paraId="7C4C56EF" w14:textId="77777777" w:rsidR="00923B21" w:rsidRDefault="00923B21" w:rsidP="00923B21">
            <w:r>
              <w:t>- Ensure parents, carers, and external professionals are engaged in supporting students’ education and welfare.</w:t>
            </w:r>
          </w:p>
          <w:p w14:paraId="5AC9BE33" w14:textId="79120EA0" w:rsidR="00923B21" w:rsidRDefault="00923B21" w:rsidP="00923B21"/>
          <w:p w14:paraId="4A553631" w14:textId="46FB518F" w:rsidR="00923B21" w:rsidRDefault="00923B21" w:rsidP="00923B21">
            <w:r>
              <w:t>Adhere to safer Recruitment and most up to date legislation</w:t>
            </w:r>
          </w:p>
          <w:p w14:paraId="157EA5CF" w14:textId="77777777" w:rsidR="00C971B5" w:rsidRPr="00C83A54" w:rsidRDefault="00C971B5" w:rsidP="00C971B5">
            <w:pPr>
              <w:spacing w:before="100" w:beforeAutospacing="1" w:after="100" w:afterAutospacing="1"/>
              <w:ind w:left="720"/>
              <w:rPr>
                <w:rFonts w:cs="Arial"/>
                <w:sz w:val="22"/>
                <w:szCs w:val="22"/>
                <w:lang w:eastAsia="en-GB"/>
              </w:rPr>
            </w:pPr>
          </w:p>
          <w:p w14:paraId="36ABAA80" w14:textId="77777777" w:rsidR="00C83A54" w:rsidRPr="00C83A54" w:rsidRDefault="00C83A54" w:rsidP="00C83A54">
            <w:pPr>
              <w:spacing w:before="100" w:beforeAutospacing="1" w:after="100" w:afterAutospacing="1"/>
              <w:rPr>
                <w:rFonts w:cs="Arial"/>
                <w:sz w:val="22"/>
                <w:szCs w:val="22"/>
                <w:lang w:eastAsia="en-GB"/>
              </w:rPr>
            </w:pPr>
            <w:r w:rsidRPr="00C83A54">
              <w:rPr>
                <w:rFonts w:cs="Arial"/>
                <w:b/>
                <w:bCs/>
                <w:sz w:val="22"/>
                <w:szCs w:val="22"/>
                <w:lang w:eastAsia="en-GB"/>
              </w:rPr>
              <w:t>Collaboration and Partnership</w:t>
            </w:r>
          </w:p>
          <w:p w14:paraId="0BD6E1A7" w14:textId="77777777" w:rsidR="00923B21" w:rsidRDefault="00923B21" w:rsidP="00923B21">
            <w:r>
              <w:t>- Develop strong working relationships with parents, carers, and guardians to ensure consistent communication regarding student progress.</w:t>
            </w:r>
          </w:p>
          <w:p w14:paraId="6B135E31" w14:textId="77777777" w:rsidR="00923B21" w:rsidRDefault="00923B21" w:rsidP="00923B21"/>
          <w:p w14:paraId="4D9B793E" w14:textId="77777777" w:rsidR="00923B21" w:rsidRDefault="00923B21" w:rsidP="00923B21">
            <w:r>
              <w:t>- Liaise with local authorities, healthcare providers, and other relevant organisations to ensure students receive holistic support.</w:t>
            </w:r>
          </w:p>
          <w:p w14:paraId="7327EBA1" w14:textId="77777777" w:rsidR="00923B21" w:rsidRDefault="00923B21" w:rsidP="00923B21"/>
          <w:p w14:paraId="6087147E" w14:textId="77777777" w:rsidR="00923B21" w:rsidRDefault="00923B21" w:rsidP="00923B21">
            <w:r>
              <w:t>- Represent EMA at external meetings, events, and professional networks, contributing to the development of SEND education in the wider community.</w:t>
            </w:r>
          </w:p>
          <w:p w14:paraId="60C7B0FE" w14:textId="77777777" w:rsidR="00C83A54" w:rsidRPr="00C83A54" w:rsidRDefault="00C83A54" w:rsidP="00C83A54">
            <w:pPr>
              <w:spacing w:before="100" w:beforeAutospacing="1" w:after="100" w:afterAutospacing="1"/>
              <w:rPr>
                <w:rFonts w:cs="Arial"/>
                <w:sz w:val="22"/>
                <w:szCs w:val="22"/>
                <w:lang w:eastAsia="en-GB"/>
              </w:rPr>
            </w:pPr>
            <w:r w:rsidRPr="00C83A54">
              <w:rPr>
                <w:rFonts w:cs="Arial"/>
                <w:b/>
                <w:bCs/>
                <w:sz w:val="22"/>
                <w:szCs w:val="22"/>
                <w:lang w:eastAsia="en-GB"/>
              </w:rPr>
              <w:t>Performance Monitoring</w:t>
            </w:r>
            <w:r w:rsidR="00920DD9">
              <w:rPr>
                <w:rFonts w:cs="Arial"/>
                <w:b/>
                <w:bCs/>
                <w:sz w:val="22"/>
                <w:szCs w:val="22"/>
                <w:lang w:eastAsia="en-GB"/>
              </w:rPr>
              <w:t xml:space="preserve">, Reporting and Continuous Improvement </w:t>
            </w:r>
          </w:p>
          <w:p w14:paraId="0ECF7AA8" w14:textId="77777777" w:rsidR="00923B21" w:rsidRDefault="00923B21" w:rsidP="00923B21">
            <w:r>
              <w:t>- Support the Head of Education in ensuring the provision is Ofsted-ready at all times.</w:t>
            </w:r>
          </w:p>
          <w:p w14:paraId="79273B28" w14:textId="77777777" w:rsidR="00923B21" w:rsidRDefault="00923B21" w:rsidP="00923B21"/>
          <w:p w14:paraId="48A13F78" w14:textId="77777777" w:rsidR="00923B21" w:rsidRDefault="00923B21" w:rsidP="00923B21">
            <w:r>
              <w:t>- Use student data to monitor progress, identify areas for improvement, and implement interventions as necessary.</w:t>
            </w:r>
          </w:p>
          <w:p w14:paraId="5D0E8341" w14:textId="77777777" w:rsidR="00923B21" w:rsidRDefault="00923B21" w:rsidP="00923B21"/>
          <w:p w14:paraId="6D0CC086" w14:textId="77777777" w:rsidR="00923B21" w:rsidRDefault="00923B21" w:rsidP="00923B21">
            <w:r>
              <w:t>- Assist in reviewing and refining educational policies and procedures to ensure compliance with regulatory standards.</w:t>
            </w:r>
          </w:p>
          <w:p w14:paraId="51F85CE1" w14:textId="77777777" w:rsidR="00923B21" w:rsidRDefault="00923B21" w:rsidP="00923B21"/>
          <w:p w14:paraId="1D42BE08" w14:textId="77777777" w:rsidR="00923B21" w:rsidRDefault="00923B21" w:rsidP="00923B21">
            <w:r>
              <w:t>- Contribute to reports for Trustees, the Education Advisory Board, and external stakeholders regarding educational outcomes and provision performance.</w:t>
            </w:r>
          </w:p>
          <w:p w14:paraId="5407ECDC" w14:textId="77777777" w:rsidR="00920DD9" w:rsidRPr="00920DD9" w:rsidRDefault="00920DD9" w:rsidP="00920DD9">
            <w:pPr>
              <w:spacing w:before="100" w:beforeAutospacing="1" w:after="100" w:afterAutospacing="1"/>
              <w:rPr>
                <w:rFonts w:cs="Arial"/>
                <w:b/>
                <w:bCs/>
                <w:sz w:val="22"/>
                <w:szCs w:val="22"/>
                <w:lang w:eastAsia="en-GB"/>
              </w:rPr>
            </w:pPr>
            <w:r w:rsidRPr="00920DD9">
              <w:rPr>
                <w:rFonts w:cs="Arial"/>
                <w:b/>
                <w:bCs/>
                <w:sz w:val="22"/>
                <w:szCs w:val="22"/>
                <w:lang w:eastAsia="en-GB"/>
              </w:rPr>
              <w:t xml:space="preserve">Compliance and Ofsted Readiness </w:t>
            </w:r>
          </w:p>
          <w:p w14:paraId="4F169ED8" w14:textId="77777777" w:rsidR="00920DD9" w:rsidRPr="00920DD9" w:rsidRDefault="00920DD9" w:rsidP="00920DD9">
            <w:pPr>
              <w:numPr>
                <w:ilvl w:val="0"/>
                <w:numId w:val="19"/>
              </w:numPr>
              <w:spacing w:before="100" w:beforeAutospacing="1" w:after="100" w:afterAutospacing="1"/>
              <w:rPr>
                <w:rFonts w:cs="Arial"/>
                <w:sz w:val="22"/>
                <w:szCs w:val="22"/>
                <w:lang w:eastAsia="en-GB"/>
              </w:rPr>
            </w:pPr>
            <w:r w:rsidRPr="00920DD9">
              <w:rPr>
                <w:sz w:val="22"/>
                <w:szCs w:val="22"/>
              </w:rPr>
              <w:t>Ensure that the college complies with all aspects of the Ofsted framework for high needs provisions, demonstrating a commitment to continuous improvement and meeting all the standards required for high-quality SEND provision.</w:t>
            </w:r>
          </w:p>
          <w:p w14:paraId="5F66210D" w14:textId="77777777" w:rsidR="00920DD9" w:rsidRPr="00C83A54" w:rsidRDefault="00920DD9" w:rsidP="00920DD9">
            <w:pPr>
              <w:numPr>
                <w:ilvl w:val="0"/>
                <w:numId w:val="19"/>
              </w:numPr>
              <w:spacing w:before="100" w:beforeAutospacing="1" w:after="100" w:afterAutospacing="1"/>
              <w:rPr>
                <w:rFonts w:cs="Arial"/>
                <w:sz w:val="22"/>
                <w:szCs w:val="22"/>
                <w:lang w:eastAsia="en-GB"/>
              </w:rPr>
            </w:pPr>
            <w:r w:rsidRPr="00920DD9">
              <w:rPr>
                <w:sz w:val="22"/>
                <w:szCs w:val="22"/>
              </w:rPr>
              <w:t>Support the Senior Leadership Team in responding to any recommendations from Ofsted, ensuring that all aspects of provision are improved in response to inspection feedback.</w:t>
            </w:r>
          </w:p>
          <w:p w14:paraId="6C0EC6A3" w14:textId="77777777" w:rsidR="000216AE" w:rsidRPr="00C83A54" w:rsidRDefault="000216AE" w:rsidP="00C83A54">
            <w:pPr>
              <w:spacing w:before="100" w:beforeAutospacing="1" w:after="100" w:afterAutospacing="1"/>
              <w:rPr>
                <w:rFonts w:cs="Arial"/>
                <w:sz w:val="22"/>
                <w:szCs w:val="22"/>
                <w:lang w:eastAsia="en-GB"/>
              </w:rPr>
            </w:pPr>
          </w:p>
        </w:tc>
      </w:tr>
      <w:tr w:rsidR="00503084" w:rsidRPr="00C83A54" w14:paraId="7EF5B187" w14:textId="77777777" w:rsidTr="00083AC1">
        <w:tc>
          <w:tcPr>
            <w:tcW w:w="3085" w:type="dxa"/>
            <w:shd w:val="clear" w:color="auto" w:fill="auto"/>
          </w:tcPr>
          <w:p w14:paraId="4EB02DE9" w14:textId="77777777" w:rsidR="00503084" w:rsidRPr="00C83A54" w:rsidRDefault="00503084" w:rsidP="00CC124B">
            <w:pPr>
              <w:rPr>
                <w:rFonts w:cs="Arial"/>
                <w:b/>
                <w:sz w:val="22"/>
                <w:szCs w:val="22"/>
              </w:rPr>
            </w:pPr>
            <w:r w:rsidRPr="00C83A54">
              <w:rPr>
                <w:rFonts w:cs="Arial"/>
                <w:b/>
                <w:sz w:val="22"/>
                <w:szCs w:val="22"/>
              </w:rPr>
              <w:lastRenderedPageBreak/>
              <w:t>Safeguarding:</w:t>
            </w:r>
          </w:p>
        </w:tc>
        <w:tc>
          <w:tcPr>
            <w:tcW w:w="6877" w:type="dxa"/>
            <w:shd w:val="clear" w:color="auto" w:fill="auto"/>
          </w:tcPr>
          <w:p w14:paraId="57DE1C6F" w14:textId="77777777" w:rsidR="00503084" w:rsidRPr="00C83A54" w:rsidRDefault="00503084" w:rsidP="00083AC1">
            <w:pPr>
              <w:pStyle w:val="ListParagraph"/>
              <w:spacing w:before="100" w:beforeAutospacing="1" w:after="100" w:afterAutospacing="1"/>
              <w:ind w:left="0"/>
              <w:rPr>
                <w:rFonts w:ascii="Arial" w:hAnsi="Arial" w:cs="Arial"/>
                <w:bCs/>
              </w:rPr>
            </w:pPr>
            <w:r w:rsidRPr="00C83A54">
              <w:rPr>
                <w:rFonts w:ascii="Arial" w:hAnsi="Arial" w:cs="Arial"/>
              </w:rPr>
              <w:t>Employ My Ability takes seriously its responsibility for safeguarding and is committed to safeguarding and promoting the welfare of young people. Therefore, we require that all staff share this and act a</w:t>
            </w:r>
            <w:r w:rsidRPr="00C83A54">
              <w:rPr>
                <w:rFonts w:ascii="Arial" w:hAnsi="Arial" w:cs="Arial"/>
                <w:bCs/>
              </w:rPr>
              <w:t>ccordingly by applying organisation policy and procedure and attending annual safeguarding training.</w:t>
            </w:r>
          </w:p>
        </w:tc>
      </w:tr>
      <w:tr w:rsidR="00503084" w:rsidRPr="00C83A54" w14:paraId="6B3E5DA2" w14:textId="77777777" w:rsidTr="00083AC1">
        <w:tc>
          <w:tcPr>
            <w:tcW w:w="3085" w:type="dxa"/>
            <w:shd w:val="clear" w:color="auto" w:fill="auto"/>
          </w:tcPr>
          <w:p w14:paraId="32A874C4" w14:textId="77777777" w:rsidR="00503084" w:rsidRPr="00C83A54" w:rsidRDefault="00503084" w:rsidP="00CC124B">
            <w:pPr>
              <w:rPr>
                <w:rFonts w:cs="Arial"/>
                <w:b/>
                <w:sz w:val="22"/>
                <w:szCs w:val="22"/>
              </w:rPr>
            </w:pPr>
            <w:r w:rsidRPr="00C83A54">
              <w:rPr>
                <w:rFonts w:cs="Arial"/>
                <w:b/>
                <w:sz w:val="22"/>
                <w:szCs w:val="22"/>
              </w:rPr>
              <w:t>Equality &amp; Diversity:</w:t>
            </w:r>
          </w:p>
        </w:tc>
        <w:tc>
          <w:tcPr>
            <w:tcW w:w="6877" w:type="dxa"/>
            <w:shd w:val="clear" w:color="auto" w:fill="auto"/>
          </w:tcPr>
          <w:p w14:paraId="03944C43" w14:textId="77777777" w:rsidR="00503084" w:rsidRPr="00C83A54" w:rsidRDefault="00503084" w:rsidP="00503084">
            <w:pPr>
              <w:rPr>
                <w:rFonts w:cs="Arial"/>
                <w:sz w:val="22"/>
                <w:szCs w:val="22"/>
              </w:rPr>
            </w:pPr>
            <w:r w:rsidRPr="00C83A54">
              <w:rPr>
                <w:rFonts w:cs="Arial"/>
                <w:sz w:val="22"/>
                <w:szCs w:val="22"/>
              </w:rPr>
              <w:t>Through personal example and clear action demonstrate commitment to equality and diversity ensuring equality of access and treatment in employment and service delivery to all.</w:t>
            </w:r>
          </w:p>
        </w:tc>
      </w:tr>
      <w:tr w:rsidR="00503084" w:rsidRPr="00C83A54" w14:paraId="200A1EE5" w14:textId="77777777" w:rsidTr="00083AC1">
        <w:tc>
          <w:tcPr>
            <w:tcW w:w="3085" w:type="dxa"/>
            <w:shd w:val="clear" w:color="auto" w:fill="auto"/>
          </w:tcPr>
          <w:p w14:paraId="529B1200" w14:textId="77777777" w:rsidR="00503084" w:rsidRPr="00C83A54" w:rsidRDefault="00503084" w:rsidP="00CC124B">
            <w:pPr>
              <w:rPr>
                <w:rFonts w:cs="Arial"/>
                <w:b/>
                <w:sz w:val="22"/>
                <w:szCs w:val="22"/>
              </w:rPr>
            </w:pPr>
            <w:r w:rsidRPr="00C83A54">
              <w:rPr>
                <w:rFonts w:cs="Arial"/>
                <w:b/>
                <w:sz w:val="22"/>
                <w:szCs w:val="22"/>
              </w:rPr>
              <w:t>Health &amp; Safety:</w:t>
            </w:r>
          </w:p>
        </w:tc>
        <w:tc>
          <w:tcPr>
            <w:tcW w:w="6877" w:type="dxa"/>
            <w:shd w:val="clear" w:color="auto" w:fill="auto"/>
          </w:tcPr>
          <w:p w14:paraId="220E7779" w14:textId="77777777" w:rsidR="00503084" w:rsidRPr="00C83A54" w:rsidRDefault="00503084" w:rsidP="00503084">
            <w:pPr>
              <w:rPr>
                <w:rFonts w:cs="Arial"/>
                <w:sz w:val="22"/>
                <w:szCs w:val="22"/>
              </w:rPr>
            </w:pPr>
            <w:r w:rsidRPr="00C83A54">
              <w:rPr>
                <w:rFonts w:cs="Arial"/>
                <w:sz w:val="22"/>
                <w:szCs w:val="22"/>
              </w:rPr>
              <w:t>Promote Employ My Ability’s Health and Safety at Work Policy and Procedure and ensure these are implemented effectively within the department.</w:t>
            </w:r>
          </w:p>
        </w:tc>
      </w:tr>
    </w:tbl>
    <w:p w14:paraId="3F500B09" w14:textId="77777777" w:rsidR="00CC124B" w:rsidRPr="00C83A54" w:rsidRDefault="00CC124B" w:rsidP="00CC124B">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60"/>
      </w:tblGrid>
      <w:tr w:rsidR="007A0B35" w:rsidRPr="00C83A54" w14:paraId="5A4C0094" w14:textId="77777777" w:rsidTr="007A0B35">
        <w:tc>
          <w:tcPr>
            <w:tcW w:w="4981" w:type="dxa"/>
            <w:shd w:val="clear" w:color="auto" w:fill="auto"/>
          </w:tcPr>
          <w:p w14:paraId="7CC43BEC" w14:textId="77777777" w:rsidR="007A0B35" w:rsidRPr="00C83A54" w:rsidRDefault="007A0B35" w:rsidP="00B220C8">
            <w:pPr>
              <w:rPr>
                <w:rFonts w:cs="Arial"/>
                <w:b/>
                <w:sz w:val="22"/>
                <w:szCs w:val="22"/>
              </w:rPr>
            </w:pPr>
            <w:r w:rsidRPr="00C83A54">
              <w:rPr>
                <w:rFonts w:cs="Arial"/>
                <w:b/>
                <w:sz w:val="22"/>
                <w:szCs w:val="22"/>
              </w:rPr>
              <w:t>Employee Signature:</w:t>
            </w:r>
          </w:p>
        </w:tc>
        <w:tc>
          <w:tcPr>
            <w:tcW w:w="4981" w:type="dxa"/>
            <w:shd w:val="clear" w:color="auto" w:fill="auto"/>
          </w:tcPr>
          <w:p w14:paraId="0F3BBCE8" w14:textId="77777777" w:rsidR="007A0B35" w:rsidRPr="00C83A54" w:rsidRDefault="007A0B35" w:rsidP="00B220C8">
            <w:pPr>
              <w:rPr>
                <w:rFonts w:cs="Arial"/>
                <w:b/>
                <w:sz w:val="22"/>
                <w:szCs w:val="22"/>
              </w:rPr>
            </w:pPr>
            <w:r w:rsidRPr="00C83A54">
              <w:rPr>
                <w:rFonts w:cs="Arial"/>
                <w:b/>
                <w:sz w:val="22"/>
                <w:szCs w:val="22"/>
              </w:rPr>
              <w:t>Date:</w:t>
            </w:r>
          </w:p>
          <w:p w14:paraId="01CAC09D" w14:textId="77777777" w:rsidR="007A0B35" w:rsidRPr="00C83A54" w:rsidRDefault="007A0B35" w:rsidP="00B220C8">
            <w:pPr>
              <w:rPr>
                <w:rFonts w:cs="Arial"/>
                <w:b/>
                <w:sz w:val="22"/>
                <w:szCs w:val="22"/>
              </w:rPr>
            </w:pPr>
          </w:p>
        </w:tc>
      </w:tr>
      <w:tr w:rsidR="007A0B35" w:rsidRPr="00C83A54" w14:paraId="1B5BA9F9" w14:textId="77777777" w:rsidTr="007A0B35">
        <w:tc>
          <w:tcPr>
            <w:tcW w:w="4981" w:type="dxa"/>
            <w:shd w:val="clear" w:color="auto" w:fill="auto"/>
          </w:tcPr>
          <w:p w14:paraId="30BF1ACA" w14:textId="77777777" w:rsidR="007A0B35" w:rsidRPr="00C83A54" w:rsidRDefault="007A0B35" w:rsidP="00B220C8">
            <w:pPr>
              <w:rPr>
                <w:rFonts w:cs="Arial"/>
                <w:b/>
                <w:sz w:val="22"/>
                <w:szCs w:val="22"/>
              </w:rPr>
            </w:pPr>
            <w:r w:rsidRPr="00C83A54">
              <w:rPr>
                <w:rFonts w:cs="Arial"/>
                <w:b/>
                <w:sz w:val="22"/>
                <w:szCs w:val="22"/>
              </w:rPr>
              <w:t>Line Manager Signature:</w:t>
            </w:r>
          </w:p>
        </w:tc>
        <w:tc>
          <w:tcPr>
            <w:tcW w:w="4981" w:type="dxa"/>
            <w:shd w:val="clear" w:color="auto" w:fill="auto"/>
          </w:tcPr>
          <w:p w14:paraId="2E738CE1" w14:textId="77777777" w:rsidR="007A0B35" w:rsidRPr="00C83A54" w:rsidRDefault="007A0B35" w:rsidP="00B220C8">
            <w:pPr>
              <w:rPr>
                <w:rFonts w:cs="Arial"/>
                <w:b/>
                <w:sz w:val="22"/>
                <w:szCs w:val="22"/>
              </w:rPr>
            </w:pPr>
            <w:r w:rsidRPr="00C83A54">
              <w:rPr>
                <w:rFonts w:cs="Arial"/>
                <w:b/>
                <w:sz w:val="22"/>
                <w:szCs w:val="22"/>
              </w:rPr>
              <w:t>Date:</w:t>
            </w:r>
          </w:p>
          <w:p w14:paraId="21F050E2" w14:textId="77777777" w:rsidR="007A0B35" w:rsidRPr="00C83A54" w:rsidRDefault="007A0B35" w:rsidP="00B220C8">
            <w:pPr>
              <w:rPr>
                <w:rFonts w:cs="Arial"/>
                <w:b/>
                <w:sz w:val="22"/>
                <w:szCs w:val="22"/>
              </w:rPr>
            </w:pPr>
          </w:p>
        </w:tc>
      </w:tr>
    </w:tbl>
    <w:p w14:paraId="26946DF4" w14:textId="77777777" w:rsidR="007A0B35" w:rsidRPr="00E57BB3" w:rsidRDefault="007A0B35" w:rsidP="007A0B35">
      <w:pPr>
        <w:rPr>
          <w:rFonts w:cs="Arial"/>
          <w:b/>
          <w:sz w:val="22"/>
          <w:szCs w:val="22"/>
        </w:rPr>
      </w:pPr>
    </w:p>
    <w:sectPr w:rsidR="007A0B35" w:rsidRPr="00E57BB3" w:rsidSect="00802A15">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690D" w14:textId="77777777" w:rsidR="0047589F" w:rsidRDefault="0047589F">
      <w:r>
        <w:separator/>
      </w:r>
    </w:p>
  </w:endnote>
  <w:endnote w:type="continuationSeparator" w:id="0">
    <w:p w14:paraId="7112586E" w14:textId="77777777" w:rsidR="0047589F" w:rsidRDefault="004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905F" w14:textId="77777777" w:rsidR="000216AE" w:rsidRDefault="000216AE">
    <w:pPr>
      <w:pStyle w:val="Footer"/>
      <w:jc w:val="right"/>
    </w:pPr>
    <w:r>
      <w:fldChar w:fldCharType="begin"/>
    </w:r>
    <w:r>
      <w:instrText>PAGE   \* MERGEFORMAT</w:instrText>
    </w:r>
    <w:r>
      <w:fldChar w:fldCharType="separate"/>
    </w:r>
    <w:r>
      <w:t>2</w:t>
    </w:r>
    <w:r>
      <w:fldChar w:fldCharType="end"/>
    </w:r>
  </w:p>
  <w:p w14:paraId="2E4A41F0" w14:textId="77777777"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1C86" w14:textId="77777777" w:rsidR="0047589F" w:rsidRDefault="0047589F">
      <w:r>
        <w:separator/>
      </w:r>
    </w:p>
  </w:footnote>
  <w:footnote w:type="continuationSeparator" w:id="0">
    <w:p w14:paraId="6C8785E7" w14:textId="77777777" w:rsidR="0047589F" w:rsidRDefault="0047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D326"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62D1" w14:textId="7B5DA741" w:rsidR="00802A15" w:rsidRDefault="00923B21">
    <w:pPr>
      <w:pStyle w:val="Header"/>
    </w:pPr>
    <w:r>
      <w:rPr>
        <w:noProof/>
      </w:rPr>
      <w:drawing>
        <wp:anchor distT="0" distB="0" distL="114300" distR="114300" simplePos="0" relativeHeight="251657728" behindDoc="1" locked="0" layoutInCell="1" allowOverlap="1" wp14:anchorId="0A422F47" wp14:editId="114E13E3">
          <wp:simplePos x="0" y="0"/>
          <wp:positionH relativeFrom="column">
            <wp:posOffset>5334000</wp:posOffset>
          </wp:positionH>
          <wp:positionV relativeFrom="paragraph">
            <wp:posOffset>-274320</wp:posOffset>
          </wp:positionV>
          <wp:extent cx="1272540" cy="1272540"/>
          <wp:effectExtent l="0" t="0" r="0" b="0"/>
          <wp:wrapTight wrapText="bothSides">
            <wp:wrapPolygon edited="0">
              <wp:start x="0" y="0"/>
              <wp:lineTo x="0" y="21341"/>
              <wp:lineTo x="21341" y="21341"/>
              <wp:lineTo x="21341" y="0"/>
              <wp:lineTo x="0" y="0"/>
            </wp:wrapPolygon>
          </wp:wrapTight>
          <wp:docPr id="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8E5"/>
    <w:multiLevelType w:val="multilevel"/>
    <w:tmpl w:val="CC3A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7CF27A1"/>
    <w:multiLevelType w:val="multilevel"/>
    <w:tmpl w:val="04C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52A7B"/>
    <w:multiLevelType w:val="hybridMultilevel"/>
    <w:tmpl w:val="8B5A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6844"/>
    <w:multiLevelType w:val="multilevel"/>
    <w:tmpl w:val="83E2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12B08"/>
    <w:multiLevelType w:val="multilevel"/>
    <w:tmpl w:val="373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67986"/>
    <w:multiLevelType w:val="hybridMultilevel"/>
    <w:tmpl w:val="D248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E24E8"/>
    <w:multiLevelType w:val="hybridMultilevel"/>
    <w:tmpl w:val="9DBEF748"/>
    <w:lvl w:ilvl="0" w:tplc="E4041D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D4921"/>
    <w:multiLevelType w:val="multilevel"/>
    <w:tmpl w:val="6ED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51425"/>
    <w:multiLevelType w:val="hybridMultilevel"/>
    <w:tmpl w:val="BEB00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4EB20FA"/>
    <w:multiLevelType w:val="multilevel"/>
    <w:tmpl w:val="AFF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D0CC8"/>
    <w:multiLevelType w:val="multilevel"/>
    <w:tmpl w:val="134C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47468"/>
    <w:multiLevelType w:val="multilevel"/>
    <w:tmpl w:val="2D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F3B76"/>
    <w:multiLevelType w:val="multilevel"/>
    <w:tmpl w:val="B21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145C8"/>
    <w:multiLevelType w:val="multilevel"/>
    <w:tmpl w:val="A598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63146"/>
    <w:multiLevelType w:val="multilevel"/>
    <w:tmpl w:val="F7F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E5FBB"/>
    <w:multiLevelType w:val="multilevel"/>
    <w:tmpl w:val="A898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871E1"/>
    <w:multiLevelType w:val="hybridMultilevel"/>
    <w:tmpl w:val="E194AE82"/>
    <w:lvl w:ilvl="0" w:tplc="7E04BF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21280">
    <w:abstractNumId w:val="1"/>
  </w:num>
  <w:num w:numId="2" w16cid:durableId="551231461">
    <w:abstractNumId w:val="5"/>
  </w:num>
  <w:num w:numId="3" w16cid:durableId="1048846365">
    <w:abstractNumId w:val="13"/>
  </w:num>
  <w:num w:numId="4" w16cid:durableId="886338811">
    <w:abstractNumId w:val="16"/>
  </w:num>
  <w:num w:numId="5" w16cid:durableId="247468226">
    <w:abstractNumId w:val="6"/>
  </w:num>
  <w:num w:numId="6" w16cid:durableId="440228536">
    <w:abstractNumId w:val="2"/>
  </w:num>
  <w:num w:numId="7" w16cid:durableId="301039583">
    <w:abstractNumId w:val="15"/>
  </w:num>
  <w:num w:numId="8" w16cid:durableId="1560170303">
    <w:abstractNumId w:val="18"/>
  </w:num>
  <w:num w:numId="9" w16cid:durableId="1596934224">
    <w:abstractNumId w:val="14"/>
  </w:num>
  <w:num w:numId="10" w16cid:durableId="1553997135">
    <w:abstractNumId w:val="0"/>
  </w:num>
  <w:num w:numId="11" w16cid:durableId="351029490">
    <w:abstractNumId w:val="11"/>
  </w:num>
  <w:num w:numId="12" w16cid:durableId="774597613">
    <w:abstractNumId w:val="9"/>
  </w:num>
  <w:num w:numId="13" w16cid:durableId="961764246">
    <w:abstractNumId w:val="19"/>
  </w:num>
  <w:num w:numId="14" w16cid:durableId="1194422461">
    <w:abstractNumId w:val="17"/>
  </w:num>
  <w:num w:numId="15" w16cid:durableId="1701779552">
    <w:abstractNumId w:val="12"/>
  </w:num>
  <w:num w:numId="16" w16cid:durableId="1289698330">
    <w:abstractNumId w:val="3"/>
  </w:num>
  <w:num w:numId="17" w16cid:durableId="1650086928">
    <w:abstractNumId w:val="10"/>
  </w:num>
  <w:num w:numId="18" w16cid:durableId="1046948250">
    <w:abstractNumId w:val="4"/>
  </w:num>
  <w:num w:numId="19" w16cid:durableId="783422727">
    <w:abstractNumId w:val="7"/>
  </w:num>
  <w:num w:numId="20" w16cid:durableId="2107653099">
    <w:abstractNumId w:val="8"/>
  </w:num>
  <w:num w:numId="21" w16cid:durableId="1791321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16AE"/>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3FCE"/>
    <w:rsid w:val="00096E85"/>
    <w:rsid w:val="000A4412"/>
    <w:rsid w:val="000A53A4"/>
    <w:rsid w:val="000B0743"/>
    <w:rsid w:val="000B1DCF"/>
    <w:rsid w:val="000B54AF"/>
    <w:rsid w:val="000C4999"/>
    <w:rsid w:val="000C4B01"/>
    <w:rsid w:val="000C4CDF"/>
    <w:rsid w:val="000C718A"/>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28C1"/>
    <w:rsid w:val="00182CD3"/>
    <w:rsid w:val="00183B69"/>
    <w:rsid w:val="0018662A"/>
    <w:rsid w:val="00193991"/>
    <w:rsid w:val="001949BC"/>
    <w:rsid w:val="001A2E4D"/>
    <w:rsid w:val="001C00F6"/>
    <w:rsid w:val="001D3815"/>
    <w:rsid w:val="001D450A"/>
    <w:rsid w:val="001E2BEF"/>
    <w:rsid w:val="001E2C48"/>
    <w:rsid w:val="001F0CE7"/>
    <w:rsid w:val="00206969"/>
    <w:rsid w:val="002123E8"/>
    <w:rsid w:val="00220385"/>
    <w:rsid w:val="00223F2E"/>
    <w:rsid w:val="002349E3"/>
    <w:rsid w:val="0023515A"/>
    <w:rsid w:val="00246F81"/>
    <w:rsid w:val="002513E3"/>
    <w:rsid w:val="0025623B"/>
    <w:rsid w:val="00265B93"/>
    <w:rsid w:val="00285DFA"/>
    <w:rsid w:val="00291A45"/>
    <w:rsid w:val="002A6C5F"/>
    <w:rsid w:val="002B7BF9"/>
    <w:rsid w:val="002C1EFD"/>
    <w:rsid w:val="002C37D6"/>
    <w:rsid w:val="002C734E"/>
    <w:rsid w:val="002D28F0"/>
    <w:rsid w:val="002D2F43"/>
    <w:rsid w:val="002D34C6"/>
    <w:rsid w:val="002E3845"/>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6590"/>
    <w:rsid w:val="003D77D4"/>
    <w:rsid w:val="003E203B"/>
    <w:rsid w:val="003E37A7"/>
    <w:rsid w:val="003F1E2B"/>
    <w:rsid w:val="00407638"/>
    <w:rsid w:val="00415E9D"/>
    <w:rsid w:val="00417BEC"/>
    <w:rsid w:val="0042045E"/>
    <w:rsid w:val="00422573"/>
    <w:rsid w:val="00434F2F"/>
    <w:rsid w:val="00436FC7"/>
    <w:rsid w:val="00442166"/>
    <w:rsid w:val="0045006A"/>
    <w:rsid w:val="0045199B"/>
    <w:rsid w:val="004521D2"/>
    <w:rsid w:val="00464998"/>
    <w:rsid w:val="004660F9"/>
    <w:rsid w:val="00470903"/>
    <w:rsid w:val="00471794"/>
    <w:rsid w:val="004727EF"/>
    <w:rsid w:val="00472CC1"/>
    <w:rsid w:val="0047496D"/>
    <w:rsid w:val="00474B64"/>
    <w:rsid w:val="0047589F"/>
    <w:rsid w:val="004816A4"/>
    <w:rsid w:val="004861BA"/>
    <w:rsid w:val="00487041"/>
    <w:rsid w:val="00487B1F"/>
    <w:rsid w:val="0049132A"/>
    <w:rsid w:val="004A158E"/>
    <w:rsid w:val="004A1CDB"/>
    <w:rsid w:val="004A4090"/>
    <w:rsid w:val="004A7993"/>
    <w:rsid w:val="004B25DC"/>
    <w:rsid w:val="004B2915"/>
    <w:rsid w:val="004C1C8C"/>
    <w:rsid w:val="004C2170"/>
    <w:rsid w:val="004C22EA"/>
    <w:rsid w:val="004C343A"/>
    <w:rsid w:val="004C6B41"/>
    <w:rsid w:val="004D4657"/>
    <w:rsid w:val="004F1334"/>
    <w:rsid w:val="004F2257"/>
    <w:rsid w:val="004F4C4D"/>
    <w:rsid w:val="004F7C57"/>
    <w:rsid w:val="00501CA2"/>
    <w:rsid w:val="00503084"/>
    <w:rsid w:val="00507287"/>
    <w:rsid w:val="005129F2"/>
    <w:rsid w:val="00514B85"/>
    <w:rsid w:val="005155BD"/>
    <w:rsid w:val="0051678F"/>
    <w:rsid w:val="00531955"/>
    <w:rsid w:val="00534CF0"/>
    <w:rsid w:val="005467C2"/>
    <w:rsid w:val="005511A1"/>
    <w:rsid w:val="0055218B"/>
    <w:rsid w:val="0056207D"/>
    <w:rsid w:val="00565F9B"/>
    <w:rsid w:val="0056778E"/>
    <w:rsid w:val="0057163E"/>
    <w:rsid w:val="0057315D"/>
    <w:rsid w:val="0059755F"/>
    <w:rsid w:val="005A2A9A"/>
    <w:rsid w:val="005A5136"/>
    <w:rsid w:val="005B0230"/>
    <w:rsid w:val="005B0FC2"/>
    <w:rsid w:val="005B2B88"/>
    <w:rsid w:val="005B5FB2"/>
    <w:rsid w:val="005B7E6F"/>
    <w:rsid w:val="005C06E9"/>
    <w:rsid w:val="005C1987"/>
    <w:rsid w:val="005C4C2A"/>
    <w:rsid w:val="005C77AE"/>
    <w:rsid w:val="005D2705"/>
    <w:rsid w:val="005D3316"/>
    <w:rsid w:val="005D6A95"/>
    <w:rsid w:val="005E0835"/>
    <w:rsid w:val="005E2CCB"/>
    <w:rsid w:val="005F5A26"/>
    <w:rsid w:val="0060156B"/>
    <w:rsid w:val="006068DF"/>
    <w:rsid w:val="00607E75"/>
    <w:rsid w:val="00611A52"/>
    <w:rsid w:val="0061311A"/>
    <w:rsid w:val="0061639B"/>
    <w:rsid w:val="0062100C"/>
    <w:rsid w:val="006216A2"/>
    <w:rsid w:val="0062363C"/>
    <w:rsid w:val="006265EC"/>
    <w:rsid w:val="00627354"/>
    <w:rsid w:val="006344A8"/>
    <w:rsid w:val="0064004D"/>
    <w:rsid w:val="0064128A"/>
    <w:rsid w:val="0064198B"/>
    <w:rsid w:val="00643163"/>
    <w:rsid w:val="00644B67"/>
    <w:rsid w:val="00645BFD"/>
    <w:rsid w:val="00654EEE"/>
    <w:rsid w:val="00657101"/>
    <w:rsid w:val="0066484E"/>
    <w:rsid w:val="00676F22"/>
    <w:rsid w:val="0068092B"/>
    <w:rsid w:val="00680CD5"/>
    <w:rsid w:val="00685391"/>
    <w:rsid w:val="00696382"/>
    <w:rsid w:val="006A1A0D"/>
    <w:rsid w:val="006A5588"/>
    <w:rsid w:val="006A6BB9"/>
    <w:rsid w:val="006C3C45"/>
    <w:rsid w:val="006D2A2F"/>
    <w:rsid w:val="006D6F1C"/>
    <w:rsid w:val="006E01B6"/>
    <w:rsid w:val="006E5E45"/>
    <w:rsid w:val="006F60E8"/>
    <w:rsid w:val="007000C0"/>
    <w:rsid w:val="00701479"/>
    <w:rsid w:val="00701C60"/>
    <w:rsid w:val="007026D5"/>
    <w:rsid w:val="00705C95"/>
    <w:rsid w:val="00705EEB"/>
    <w:rsid w:val="00722727"/>
    <w:rsid w:val="0072349D"/>
    <w:rsid w:val="00726EA3"/>
    <w:rsid w:val="00731A22"/>
    <w:rsid w:val="00735D33"/>
    <w:rsid w:val="0074667B"/>
    <w:rsid w:val="00751FFC"/>
    <w:rsid w:val="007555B6"/>
    <w:rsid w:val="00755786"/>
    <w:rsid w:val="00764044"/>
    <w:rsid w:val="0076777A"/>
    <w:rsid w:val="00774FD5"/>
    <w:rsid w:val="00775EC1"/>
    <w:rsid w:val="00781F58"/>
    <w:rsid w:val="00782343"/>
    <w:rsid w:val="00783EDD"/>
    <w:rsid w:val="00784B56"/>
    <w:rsid w:val="007875AC"/>
    <w:rsid w:val="007936F3"/>
    <w:rsid w:val="007966D8"/>
    <w:rsid w:val="00796D21"/>
    <w:rsid w:val="007A0B35"/>
    <w:rsid w:val="007A1355"/>
    <w:rsid w:val="007A79DB"/>
    <w:rsid w:val="007B6F21"/>
    <w:rsid w:val="007C05B9"/>
    <w:rsid w:val="007C4C26"/>
    <w:rsid w:val="007E022E"/>
    <w:rsid w:val="007E7032"/>
    <w:rsid w:val="007F07C9"/>
    <w:rsid w:val="007F5DDB"/>
    <w:rsid w:val="00802A15"/>
    <w:rsid w:val="00813660"/>
    <w:rsid w:val="0081410B"/>
    <w:rsid w:val="008219F3"/>
    <w:rsid w:val="00823C1E"/>
    <w:rsid w:val="00824EC8"/>
    <w:rsid w:val="0082576E"/>
    <w:rsid w:val="00834A07"/>
    <w:rsid w:val="008377D7"/>
    <w:rsid w:val="00843168"/>
    <w:rsid w:val="0085065F"/>
    <w:rsid w:val="0085188F"/>
    <w:rsid w:val="00855059"/>
    <w:rsid w:val="0085655E"/>
    <w:rsid w:val="00866FC8"/>
    <w:rsid w:val="00867F03"/>
    <w:rsid w:val="0088205C"/>
    <w:rsid w:val="008962EF"/>
    <w:rsid w:val="0089732E"/>
    <w:rsid w:val="008A1915"/>
    <w:rsid w:val="008A39CB"/>
    <w:rsid w:val="008A4BBA"/>
    <w:rsid w:val="008B054D"/>
    <w:rsid w:val="008B06BB"/>
    <w:rsid w:val="008B1382"/>
    <w:rsid w:val="008B585C"/>
    <w:rsid w:val="008C59A0"/>
    <w:rsid w:val="008D1AE6"/>
    <w:rsid w:val="008D47FD"/>
    <w:rsid w:val="008D7379"/>
    <w:rsid w:val="008D7E1D"/>
    <w:rsid w:val="008E1A9A"/>
    <w:rsid w:val="008F03C3"/>
    <w:rsid w:val="00910208"/>
    <w:rsid w:val="00911A60"/>
    <w:rsid w:val="00914658"/>
    <w:rsid w:val="0091740E"/>
    <w:rsid w:val="00920DD9"/>
    <w:rsid w:val="00921EF7"/>
    <w:rsid w:val="0092207B"/>
    <w:rsid w:val="00923B21"/>
    <w:rsid w:val="00931019"/>
    <w:rsid w:val="00935028"/>
    <w:rsid w:val="0095484C"/>
    <w:rsid w:val="00954B21"/>
    <w:rsid w:val="00956274"/>
    <w:rsid w:val="00962F5F"/>
    <w:rsid w:val="00963986"/>
    <w:rsid w:val="00977360"/>
    <w:rsid w:val="009950F7"/>
    <w:rsid w:val="00995565"/>
    <w:rsid w:val="00996281"/>
    <w:rsid w:val="0099636A"/>
    <w:rsid w:val="009A1383"/>
    <w:rsid w:val="009B2C1C"/>
    <w:rsid w:val="009B6CD5"/>
    <w:rsid w:val="009C5278"/>
    <w:rsid w:val="009D70DE"/>
    <w:rsid w:val="009D7696"/>
    <w:rsid w:val="009E0C4D"/>
    <w:rsid w:val="009E1114"/>
    <w:rsid w:val="009F13C2"/>
    <w:rsid w:val="009F160E"/>
    <w:rsid w:val="009F38A7"/>
    <w:rsid w:val="00A015F7"/>
    <w:rsid w:val="00A10606"/>
    <w:rsid w:val="00A15007"/>
    <w:rsid w:val="00A15E9E"/>
    <w:rsid w:val="00A17C0C"/>
    <w:rsid w:val="00A22622"/>
    <w:rsid w:val="00A257E4"/>
    <w:rsid w:val="00A27184"/>
    <w:rsid w:val="00A335BB"/>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76E1"/>
    <w:rsid w:val="00AB6BA9"/>
    <w:rsid w:val="00AD48F2"/>
    <w:rsid w:val="00AF15BD"/>
    <w:rsid w:val="00AF1D31"/>
    <w:rsid w:val="00B009BF"/>
    <w:rsid w:val="00B05013"/>
    <w:rsid w:val="00B050BF"/>
    <w:rsid w:val="00B220C8"/>
    <w:rsid w:val="00B237E2"/>
    <w:rsid w:val="00B2749B"/>
    <w:rsid w:val="00B275BF"/>
    <w:rsid w:val="00B42817"/>
    <w:rsid w:val="00B43DAE"/>
    <w:rsid w:val="00B459F0"/>
    <w:rsid w:val="00B501F7"/>
    <w:rsid w:val="00B532BB"/>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7E22"/>
    <w:rsid w:val="00C602DE"/>
    <w:rsid w:val="00C62889"/>
    <w:rsid w:val="00C64275"/>
    <w:rsid w:val="00C67A9F"/>
    <w:rsid w:val="00C70001"/>
    <w:rsid w:val="00C7322E"/>
    <w:rsid w:val="00C7615C"/>
    <w:rsid w:val="00C76DA4"/>
    <w:rsid w:val="00C80A7D"/>
    <w:rsid w:val="00C83A54"/>
    <w:rsid w:val="00C96543"/>
    <w:rsid w:val="00C96E99"/>
    <w:rsid w:val="00C971B5"/>
    <w:rsid w:val="00C97DA2"/>
    <w:rsid w:val="00CA0401"/>
    <w:rsid w:val="00CA0E43"/>
    <w:rsid w:val="00CB2D67"/>
    <w:rsid w:val="00CC005C"/>
    <w:rsid w:val="00CC124B"/>
    <w:rsid w:val="00CC56D7"/>
    <w:rsid w:val="00CD02B1"/>
    <w:rsid w:val="00CD6211"/>
    <w:rsid w:val="00CF0435"/>
    <w:rsid w:val="00CF18A5"/>
    <w:rsid w:val="00CF6A8C"/>
    <w:rsid w:val="00CF6FD1"/>
    <w:rsid w:val="00CF743E"/>
    <w:rsid w:val="00CF7952"/>
    <w:rsid w:val="00D17F63"/>
    <w:rsid w:val="00D213C6"/>
    <w:rsid w:val="00D2234C"/>
    <w:rsid w:val="00D241B6"/>
    <w:rsid w:val="00D36B66"/>
    <w:rsid w:val="00D36DDF"/>
    <w:rsid w:val="00D51EC5"/>
    <w:rsid w:val="00D57B7B"/>
    <w:rsid w:val="00D60DFD"/>
    <w:rsid w:val="00D6391F"/>
    <w:rsid w:val="00D63B7F"/>
    <w:rsid w:val="00D653EF"/>
    <w:rsid w:val="00D855F2"/>
    <w:rsid w:val="00D86922"/>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45F7F"/>
    <w:rsid w:val="00E57BB3"/>
    <w:rsid w:val="00E60A48"/>
    <w:rsid w:val="00E63BE4"/>
    <w:rsid w:val="00E645D7"/>
    <w:rsid w:val="00E74122"/>
    <w:rsid w:val="00E7485C"/>
    <w:rsid w:val="00E81E56"/>
    <w:rsid w:val="00E839B4"/>
    <w:rsid w:val="00E92AC3"/>
    <w:rsid w:val="00E93466"/>
    <w:rsid w:val="00EA1AEE"/>
    <w:rsid w:val="00EA2960"/>
    <w:rsid w:val="00EB266C"/>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93E56"/>
    <w:rsid w:val="00FA16A2"/>
    <w:rsid w:val="00FA6A60"/>
    <w:rsid w:val="00FB2116"/>
    <w:rsid w:val="00FB2B19"/>
    <w:rsid w:val="00FB50DB"/>
    <w:rsid w:val="00FC05E5"/>
    <w:rsid w:val="00FC4E96"/>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98681"/>
  <w15:chartTrackingRefBased/>
  <w15:docId w15:val="{896B2E52-785E-497B-8A92-6BE5A858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CD5"/>
    <w:pPr>
      <w:tabs>
        <w:tab w:val="center" w:pos="4320"/>
        <w:tab w:val="right" w:pos="8640"/>
      </w:tabs>
    </w:pPr>
  </w:style>
  <w:style w:type="paragraph" w:styleId="Footer">
    <w:name w:val="footer"/>
    <w:basedOn w:val="Normal"/>
    <w:link w:val="FooterChar"/>
    <w:uiPriority w:val="99"/>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character" w:customStyle="1" w:styleId="FooterChar">
    <w:name w:val="Footer Char"/>
    <w:link w:val="Footer"/>
    <w:uiPriority w:val="99"/>
    <w:rsid w:val="00802A15"/>
    <w:rPr>
      <w:rFonts w:ascii="Arial" w:hAnsi="Arial"/>
      <w:sz w:val="24"/>
      <w:szCs w:val="24"/>
      <w:lang w:eastAsia="en-US"/>
    </w:rPr>
  </w:style>
  <w:style w:type="character" w:customStyle="1" w:styleId="HeaderChar">
    <w:name w:val="Header Char"/>
    <w:link w:val="Header"/>
    <w:uiPriority w:val="99"/>
    <w:rsid w:val="000216AE"/>
    <w:rPr>
      <w:rFonts w:ascii="Arial" w:hAnsi="Arial"/>
      <w:sz w:val="24"/>
      <w:szCs w:val="24"/>
      <w:lang w:eastAsia="en-US"/>
    </w:rPr>
  </w:style>
  <w:style w:type="paragraph" w:styleId="NormalWeb">
    <w:name w:val="Normal (Web)"/>
    <w:basedOn w:val="Normal"/>
    <w:uiPriority w:val="99"/>
    <w:unhideWhenUsed/>
    <w:rsid w:val="00C83A54"/>
    <w:pPr>
      <w:spacing w:before="100" w:beforeAutospacing="1" w:after="100" w:afterAutospacing="1"/>
    </w:pPr>
    <w:rPr>
      <w:rFonts w:ascii="Times New Roman" w:hAnsi="Times New Roman"/>
      <w:lang w:eastAsia="en-GB"/>
    </w:rPr>
  </w:style>
  <w:style w:type="character" w:styleId="Strong">
    <w:name w:val="Strong"/>
    <w:uiPriority w:val="22"/>
    <w:qFormat/>
    <w:rsid w:val="00C83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460">
      <w:bodyDiv w:val="1"/>
      <w:marLeft w:val="0"/>
      <w:marRight w:val="0"/>
      <w:marTop w:val="0"/>
      <w:marBottom w:val="0"/>
      <w:divBdr>
        <w:top w:val="none" w:sz="0" w:space="0" w:color="auto"/>
        <w:left w:val="none" w:sz="0" w:space="0" w:color="auto"/>
        <w:bottom w:val="none" w:sz="0" w:space="0" w:color="auto"/>
        <w:right w:val="none" w:sz="0" w:space="0" w:color="auto"/>
      </w:divBdr>
    </w:div>
    <w:div w:id="443428962">
      <w:bodyDiv w:val="1"/>
      <w:marLeft w:val="0"/>
      <w:marRight w:val="0"/>
      <w:marTop w:val="0"/>
      <w:marBottom w:val="0"/>
      <w:divBdr>
        <w:top w:val="none" w:sz="0" w:space="0" w:color="auto"/>
        <w:left w:val="none" w:sz="0" w:space="0" w:color="auto"/>
        <w:bottom w:val="none" w:sz="0" w:space="0" w:color="auto"/>
        <w:right w:val="none" w:sz="0" w:space="0" w:color="auto"/>
      </w:divBdr>
    </w:div>
    <w:div w:id="446004806">
      <w:bodyDiv w:val="1"/>
      <w:marLeft w:val="0"/>
      <w:marRight w:val="0"/>
      <w:marTop w:val="0"/>
      <w:marBottom w:val="0"/>
      <w:divBdr>
        <w:top w:val="none" w:sz="0" w:space="0" w:color="auto"/>
        <w:left w:val="none" w:sz="0" w:space="0" w:color="auto"/>
        <w:bottom w:val="none" w:sz="0" w:space="0" w:color="auto"/>
        <w:right w:val="none" w:sz="0" w:space="0" w:color="auto"/>
      </w:divBdr>
    </w:div>
    <w:div w:id="651176350">
      <w:bodyDiv w:val="1"/>
      <w:marLeft w:val="0"/>
      <w:marRight w:val="0"/>
      <w:marTop w:val="0"/>
      <w:marBottom w:val="0"/>
      <w:divBdr>
        <w:top w:val="none" w:sz="0" w:space="0" w:color="auto"/>
        <w:left w:val="none" w:sz="0" w:space="0" w:color="auto"/>
        <w:bottom w:val="none" w:sz="0" w:space="0" w:color="auto"/>
        <w:right w:val="none" w:sz="0" w:space="0" w:color="auto"/>
      </w:divBdr>
    </w:div>
    <w:div w:id="754941345">
      <w:bodyDiv w:val="1"/>
      <w:marLeft w:val="0"/>
      <w:marRight w:val="0"/>
      <w:marTop w:val="0"/>
      <w:marBottom w:val="0"/>
      <w:divBdr>
        <w:top w:val="none" w:sz="0" w:space="0" w:color="auto"/>
        <w:left w:val="none" w:sz="0" w:space="0" w:color="auto"/>
        <w:bottom w:val="none" w:sz="0" w:space="0" w:color="auto"/>
        <w:right w:val="none" w:sz="0" w:space="0" w:color="auto"/>
      </w:divBdr>
    </w:div>
    <w:div w:id="1478064066">
      <w:bodyDiv w:val="1"/>
      <w:marLeft w:val="0"/>
      <w:marRight w:val="0"/>
      <w:marTop w:val="0"/>
      <w:marBottom w:val="0"/>
      <w:divBdr>
        <w:top w:val="none" w:sz="0" w:space="0" w:color="auto"/>
        <w:left w:val="none" w:sz="0" w:space="0" w:color="auto"/>
        <w:bottom w:val="none" w:sz="0" w:space="0" w:color="auto"/>
        <w:right w:val="none" w:sz="0" w:space="0" w:color="auto"/>
      </w:divBdr>
    </w:div>
    <w:div w:id="1536385720">
      <w:bodyDiv w:val="1"/>
      <w:marLeft w:val="0"/>
      <w:marRight w:val="0"/>
      <w:marTop w:val="0"/>
      <w:marBottom w:val="0"/>
      <w:divBdr>
        <w:top w:val="none" w:sz="0" w:space="0" w:color="auto"/>
        <w:left w:val="none" w:sz="0" w:space="0" w:color="auto"/>
        <w:bottom w:val="none" w:sz="0" w:space="0" w:color="auto"/>
        <w:right w:val="none" w:sz="0" w:space="0" w:color="auto"/>
      </w:divBdr>
    </w:div>
    <w:div w:id="1691029565">
      <w:bodyDiv w:val="1"/>
      <w:marLeft w:val="0"/>
      <w:marRight w:val="0"/>
      <w:marTop w:val="0"/>
      <w:marBottom w:val="0"/>
      <w:divBdr>
        <w:top w:val="none" w:sz="0" w:space="0" w:color="auto"/>
        <w:left w:val="none" w:sz="0" w:space="0" w:color="auto"/>
        <w:bottom w:val="none" w:sz="0" w:space="0" w:color="auto"/>
        <w:right w:val="none" w:sz="0" w:space="0" w:color="auto"/>
      </w:divBdr>
    </w:div>
    <w:div w:id="1711878726">
      <w:bodyDiv w:val="1"/>
      <w:marLeft w:val="0"/>
      <w:marRight w:val="0"/>
      <w:marTop w:val="0"/>
      <w:marBottom w:val="0"/>
      <w:divBdr>
        <w:top w:val="none" w:sz="0" w:space="0" w:color="auto"/>
        <w:left w:val="none" w:sz="0" w:space="0" w:color="auto"/>
        <w:bottom w:val="none" w:sz="0" w:space="0" w:color="auto"/>
        <w:right w:val="none" w:sz="0" w:space="0" w:color="auto"/>
      </w:divBdr>
    </w:div>
    <w:div w:id="1911112425">
      <w:bodyDiv w:val="1"/>
      <w:marLeft w:val="0"/>
      <w:marRight w:val="0"/>
      <w:marTop w:val="0"/>
      <w:marBottom w:val="0"/>
      <w:divBdr>
        <w:top w:val="none" w:sz="0" w:space="0" w:color="auto"/>
        <w:left w:val="none" w:sz="0" w:space="0" w:color="auto"/>
        <w:bottom w:val="none" w:sz="0" w:space="0" w:color="auto"/>
        <w:right w:val="none" w:sz="0" w:space="0" w:color="auto"/>
      </w:divBdr>
    </w:div>
    <w:div w:id="19563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73E7B08-DAD2-4DBF-9748-D741BB428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2FF3F-1D53-4E9D-ABC7-63B7758D481C}">
  <ds:schemaRefs>
    <ds:schemaRef ds:uri="http://schemas.microsoft.com/sharepoint/v3/contenttype/forms"/>
  </ds:schemaRefs>
</ds:datastoreItem>
</file>

<file path=customXml/itemProps3.xml><?xml version="1.0" encoding="utf-8"?>
<ds:datastoreItem xmlns:ds="http://schemas.openxmlformats.org/officeDocument/2006/customXml" ds:itemID="{6F9F4920-746D-41F2-9FD9-3BB6D02BA3A8}">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4.xml><?xml version="1.0" encoding="utf-8"?>
<ds:datastoreItem xmlns:ds="http://schemas.openxmlformats.org/officeDocument/2006/customXml" ds:itemID="{59F5AD01-4CC6-414C-9FD2-69389B9223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5501</CharactersWithSpaces>
  <SharedDoc>false</SharedDoc>
  <HLinks>
    <vt:vector size="6" baseType="variant">
      <vt:variant>
        <vt:i4>8126480</vt:i4>
      </vt:variant>
      <vt:variant>
        <vt:i4>-1</vt:i4>
      </vt:variant>
      <vt:variant>
        <vt:i4>1026</vt:i4>
      </vt:variant>
      <vt:variant>
        <vt:i4>1</vt:i4>
      </vt:variant>
      <vt:variant>
        <vt:lpwstr>cid:image002.jpg@01DB3745.5FDCAB50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James Dunham</cp:lastModifiedBy>
  <cp:revision>6</cp:revision>
  <cp:lastPrinted>2005-10-09T15:14:00Z</cp:lastPrinted>
  <dcterms:created xsi:type="dcterms:W3CDTF">2025-02-25T19:27:00Z</dcterms:created>
  <dcterms:modified xsi:type="dcterms:W3CDTF">2025-03-07T11:13:00Z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251000.000000000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